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567" w:leftChars="-270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ascii="黑体" w:hAnsi="黑体" w:eastAsia="黑体"/>
          <w:b/>
          <w:color w:val="000000" w:themeColor="text1"/>
          <w:szCs w:val="21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-211455</wp:posOffset>
            </wp:positionV>
            <wp:extent cx="2476500" cy="838200"/>
            <wp:effectExtent l="0" t="0" r="0" b="0"/>
            <wp:wrapNone/>
            <wp:docPr id="3" name="图片 11" descr="塔版北丰商学院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塔版北丰商学院副本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40" w:lineRule="exact"/>
        <w:ind w:left="-567" w:leftChars="-270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ascii="微软雅黑" w:hAnsi="微软雅黑" w:eastAsia="微软雅黑"/>
          <w:b/>
          <w:color w:val="000000" w:themeColor="text1"/>
          <w:sz w:val="48"/>
          <w:szCs w:val="4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1217930</wp:posOffset>
            </wp:positionH>
            <wp:positionV relativeFrom="paragraph">
              <wp:posOffset>401320</wp:posOffset>
            </wp:positionV>
            <wp:extent cx="3914775" cy="1857375"/>
            <wp:effectExtent l="19050" t="0" r="9525" b="0"/>
            <wp:wrapNone/>
            <wp:docPr id="9" name="图片 8" descr="标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标题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52"/>
          <w:szCs w:val="52"/>
        </w:rPr>
      </w:pPr>
    </w:p>
    <w:p/>
    <w:p/>
    <w:p/>
    <w:p/>
    <w:p/>
    <w:p/>
    <w:p/>
    <w:p/>
    <w:p/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 xml:space="preserve">是“五四”运动的策源地； </w:t>
      </w:r>
    </w:p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>是中国改革开放的最前沿；</w:t>
      </w:r>
    </w:p>
    <w:p>
      <w:pPr>
        <w:spacing w:line="500" w:lineRule="exact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color w:val="C00000"/>
          <w:sz w:val="36"/>
          <w:szCs w:val="36"/>
        </w:rPr>
        <w:t>这里，</w:t>
      </w:r>
      <w:r>
        <w:rPr>
          <w:rFonts w:hint="eastAsia" w:ascii="微软雅黑" w:hAnsi="微软雅黑" w:eastAsia="微软雅黑"/>
          <w:sz w:val="28"/>
          <w:szCs w:val="28"/>
        </w:rPr>
        <w:t>是中国首批获国家认可创办EMBA教育的院校......</w:t>
      </w:r>
    </w:p>
    <w:p>
      <w:pPr>
        <w:spacing w:line="500" w:lineRule="exact"/>
        <w:rPr>
          <w:rFonts w:ascii="微软雅黑" w:hAnsi="微软雅黑" w:eastAsia="微软雅黑"/>
          <w:sz w:val="30"/>
          <w:szCs w:val="30"/>
        </w:rPr>
      </w:pPr>
    </w:p>
    <w:p>
      <w:p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千年的文化积淀与活力北大的碰撞，让北大EMBA更具使命感与责任感。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在这里，我们将会伴随每一位EMBA同学的成长，见证你们的精彩！</w:t>
      </w:r>
    </w:p>
    <w:p>
      <w:pPr>
        <w:spacing w:line="460" w:lineRule="exact"/>
        <w:rPr>
          <w:rFonts w:ascii="微软雅黑" w:hAnsi="微软雅黑" w:eastAsia="微软雅黑"/>
          <w:sz w:val="24"/>
        </w:rPr>
      </w:pPr>
    </w:p>
    <w:p>
      <w:pPr>
        <w:spacing w:line="460" w:lineRule="exact"/>
        <w:ind w:right="42" w:rightChars="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想与那些灿若星辰的名字一同分享“北大人”的称号吗？请加入我们，让我们一同分享人生，做个精彩北大人！</w:t>
      </w: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/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pacing w:val="46"/>
          <w:sz w:val="24"/>
        </w:rPr>
        <w:drawing>
          <wp:anchor distT="0" distB="0" distL="114300" distR="114300" simplePos="0" relativeHeight="251711488" behindDoc="0" locked="1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-316230</wp:posOffset>
            </wp:positionV>
            <wp:extent cx="5427980" cy="2695575"/>
            <wp:effectExtent l="19050" t="0" r="1270" b="0"/>
            <wp:wrapNone/>
            <wp:docPr id="5" name="图片 4" descr="数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数据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</w:p>
    <w:p>
      <w:pPr>
        <w:spacing w:line="360" w:lineRule="exac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Style w:val="9"/>
          <w:rFonts w:ascii="微软雅黑" w:hAnsi="微软雅黑" w:eastAsia="微软雅黑"/>
          <w:color w:val="957337"/>
          <w:sz w:val="30"/>
          <w:szCs w:val="30"/>
        </w:rPr>
        <w:t>创新教学模式</w:t>
      </w: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</w:rPr>
      </w:pPr>
    </w:p>
    <w:p>
      <w:pPr>
        <w:spacing w:line="36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ascii="微软雅黑" w:hAnsi="微软雅黑" w:eastAsia="微软雅黑"/>
          <w:b/>
          <w:color w:val="FFFFFF" w:themeColor="background1"/>
          <w:spacing w:val="46"/>
          <w:sz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55245</wp:posOffset>
            </wp:positionV>
            <wp:extent cx="5543550" cy="3352800"/>
            <wp:effectExtent l="19050" t="0" r="0" b="0"/>
            <wp:wrapNone/>
            <wp:docPr id="12" name="图片 11" descr="游访学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游访学联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 w:firstLine="174" w:firstLineChars="58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spacing w:line="360" w:lineRule="exact"/>
        <w:ind w:left="-424" w:leftChars="-202" w:firstLine="174" w:firstLineChars="58"/>
        <w:rPr>
          <w:rStyle w:val="9"/>
          <w:rFonts w:ascii="微软雅黑" w:hAnsi="微软雅黑" w:eastAsia="微软雅黑"/>
          <w:color w:val="957337"/>
          <w:sz w:val="30"/>
          <w:szCs w:val="30"/>
        </w:rPr>
      </w:pPr>
      <w:r>
        <w:rPr>
          <w:rStyle w:val="9"/>
          <w:rFonts w:ascii="微软雅黑" w:hAnsi="微软雅黑" w:eastAsia="微软雅黑"/>
          <w:color w:val="957337"/>
          <w:sz w:val="30"/>
          <w:szCs w:val="30"/>
        </w:rPr>
        <w:t>课程体系</w:t>
      </w:r>
    </w:p>
    <w:p>
      <w:pPr>
        <w:spacing w:line="360" w:lineRule="exact"/>
        <w:ind w:left="-424" w:leftChars="-202" w:firstLine="139" w:firstLineChars="58"/>
        <w:rPr>
          <w:rStyle w:val="9"/>
          <w:rFonts w:ascii="微软雅黑" w:hAnsi="微软雅黑" w:eastAsia="微软雅黑"/>
          <w:color w:val="957337"/>
          <w:sz w:val="30"/>
          <w:szCs w:val="30"/>
        </w:rPr>
      </w:pPr>
      <w:r>
        <w:rPr>
          <w:rFonts w:ascii="微软雅黑" w:hAnsi="微软雅黑" w:eastAsia="微软雅黑"/>
          <w:b/>
          <w:color w:val="C00000"/>
          <w:sz w:val="24"/>
        </w:rPr>
        <w:pict>
          <v:rect id="_x0000_s2165" o:spid="_x0000_s2165" o:spt="1" style="position:absolute;left:0pt;margin-left:-27pt;margin-top:8.1pt;height:249.75pt;width:240pt;z-index:251783168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6" o:spid="_x0000_s2166" o:spt="202" type="#_x0000_t202" style="position:absolute;left:0pt;margin-left:-20.4pt;margin-top:14.85pt;height:38.4pt;width:195.65pt;z-index:2517841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b/>
                      <w:color w:val="3F3F3F" w:themeColor="text1" w:themeTint="BF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第一模块：社经大势与商业机会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8" o:spid="_x0000_s2168" o:spt="202" type="#_x0000_t202" style="position:absolute;left:0pt;margin-left:-20.4pt;margin-top:55.35pt;height:122.2pt;width:195.65pt;z-index:2517862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中国的经济版图和经济政策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中国商业生态学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中国的社会阶层变迁和社会问题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商业模式的世界新潮流</w:t>
                  </w:r>
                </w:p>
                <w:p>
                  <w:pPr>
                    <w:spacing w:line="460" w:lineRule="exact"/>
                    <w:rPr>
                      <w:color w:val="3F3F3F" w:themeColor="text1" w:themeTint="BF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世界政治与经济格局及其演变趋势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67" o:spid="_x0000_s2167" o:spt="32" type="#_x0000_t32" style="position:absolute;left:0pt;margin-left:-13.5pt;margin-top:51.6pt;height:0.05pt;width:215.25pt;z-index:251785216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rect id="_x0000_s2169" o:spid="_x0000_s2169" o:spt="1" style="position:absolute;left:0pt;margin-left:217.05pt;margin-top:8.85pt;height:249.75pt;width:240pt;z-index:251787264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1" o:spid="_x0000_s2171" o:spt="32" type="#_x0000_t32" style="position:absolute;left:0pt;margin-left:230.55pt;margin-top:51.6pt;height:0.05pt;width:215.25pt;z-index:251789312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0" o:spid="_x0000_s2170" o:spt="202" type="#_x0000_t202" style="position:absolute;left:0pt;margin-left:223.35pt;margin-top:14.85pt;height:38.4pt;width:195.65pt;z-index:25178828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第二模块：组织理论与设计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C00000"/>
          <w:sz w:val="24"/>
        </w:rPr>
        <w:pict>
          <v:shape id="_x0000_s2172" o:spid="_x0000_s2172" o:spt="202" type="#_x0000_t202" style="position:absolute;left:0pt;margin-left:223.35pt;margin-top:55.35pt;height:187.2pt;width:195.65pt;z-index:25179033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公司治理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组织化管理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集团化管理和母子公司关系设计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流程优化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组织发育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成长与变革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供应链管理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精益生产组织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移动互联时代的组织</w:t>
                  </w:r>
                </w:p>
                <w:p>
                  <w:pPr>
                    <w:spacing w:line="3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10. 风险管理</w:t>
                  </w:r>
                </w:p>
              </w:txbxContent>
            </v:textbox>
          </v:shape>
        </w:pict>
      </w:r>
    </w:p>
    <w:p>
      <w:pPr>
        <w:spacing w:line="420" w:lineRule="exact"/>
        <w:ind w:left="-283" w:leftChars="-135"/>
        <w:rPr>
          <w:rFonts w:ascii="微软雅黑" w:hAnsi="微软雅黑" w:eastAsia="微软雅黑"/>
          <w:szCs w:val="21"/>
        </w:rPr>
      </w:pPr>
    </w:p>
    <w:p>
      <w:pPr>
        <w:spacing w:line="380" w:lineRule="exact"/>
        <w:ind w:left="-283" w:leftChars="-135"/>
        <w:rPr>
          <w:rFonts w:ascii="微软雅黑" w:hAnsi="微软雅黑" w:eastAsia="微软雅黑"/>
          <w:b/>
          <w:color w:val="C00000"/>
          <w:sz w:val="24"/>
        </w:rPr>
      </w:pPr>
    </w:p>
    <w:p>
      <w:pPr>
        <w:spacing w:line="380" w:lineRule="exact"/>
        <w:ind w:left="-283" w:leftChars="-135"/>
        <w:rPr>
          <w:rFonts w:ascii="微软雅黑" w:hAnsi="微软雅黑" w:eastAsia="微软雅黑"/>
          <w:szCs w:val="21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rect id="_x0000_s2173" o:spid="_x0000_s2173" o:spt="1" style="position:absolute;left:0pt;margin-left:-27pt;margin-top:7.05pt;height:238.5pt;width:240pt;z-index:251791360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rect id="_x0000_s2177" o:spid="_x0000_s2177" o:spt="1" style="position:absolute;left:0pt;margin-left:217.05pt;margin-top:7.05pt;height:238.5pt;width:240pt;z-index:251795456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8" o:spid="_x0000_s2178" o:spt="202" type="#_x0000_t202" style="position:absolute;left:0pt;margin-left:223.35pt;margin-top:13.05pt;height:38.4pt;width:195.65pt;z-index:25179648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第四模块：战略规划与实施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4" o:spid="_x0000_s2174" o:spt="202" type="#_x0000_t202" style="position:absolute;left:0pt;margin-left:-20.4pt;margin-top:13.25pt;height:38.4pt;width:195.65pt;z-index:25179238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第三模块：产业思维与产业分析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6" o:spid="_x0000_s2176" o:spt="202" type="#_x0000_t202" style="position:absolute;left:0pt;margin-left:-20.1pt;margin-top:53.55pt;height:95.2pt;width:195.65pt;z-index:2517944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产业经济学主要理论及其应用</w:t>
                  </w:r>
                </w:p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中外产业史及其启示</w:t>
                  </w:r>
                </w:p>
                <w:p>
                  <w:pPr>
                    <w:spacing w:line="44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美国产业结构及其启示</w:t>
                  </w:r>
                </w:p>
                <w:p>
                  <w:pPr>
                    <w:spacing w:line="44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中国的产业结构和产业政策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80" o:spid="_x0000_s2180" o:spt="32" type="#_x0000_t32" style="position:absolute;left:0pt;margin-left:227.85pt;margin-top:49.8pt;height:0.05pt;width:215.25pt;z-index:25179852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9" o:spid="_x0000_s2179" o:spt="202" type="#_x0000_t202" style="position:absolute;left:0pt;margin-left:223.35pt;margin-top:55.8pt;height:178.2pt;width:195.65pt;z-index:25179750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战略研判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战略管理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商业模式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竞争分析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成长管理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战略执行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国际化战略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国学中的战略思维和竞争智慧</w:t>
                  </w:r>
                </w:p>
                <w:p>
                  <w:pPr>
                    <w:spacing w:line="38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二次创业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175" o:spid="_x0000_s2175" o:spt="32" type="#_x0000_t32" style="position:absolute;left:0pt;margin-left:-13.5pt;margin-top:49.8pt;height:0.05pt;width:215.25pt;z-index:25179340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</w:p>
    <w:p>
      <w:pPr>
        <w:spacing w:line="360" w:lineRule="exact"/>
        <w:ind w:left="-283" w:leftChars="-135"/>
        <w:rPr>
          <w:rFonts w:ascii="微软雅黑" w:hAnsi="微软雅黑" w:eastAsia="微软雅黑"/>
          <w:b/>
          <w:color w:val="FFFFFF" w:themeColor="background1"/>
          <w:spacing w:val="60"/>
          <w:sz w:val="20"/>
          <w:szCs w:val="20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3" o:spid="_x0000_s2183" o:spt="32" type="#_x0000_t32" style="position:absolute;left:0pt;margin-left:-14.25pt;margin-top:28.8pt;height:0.05pt;width:215.25pt;z-index:251801600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4" o:spid="_x0000_s2184" o:spt="202" type="#_x0000_t202" style="position:absolute;left:0pt;margin-left:-20.85pt;margin-top:32.4pt;height:175.2pt;width:195.65pt;z-index:25180262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资本市场生态学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证券投资分析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上市筹划与执行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私募融资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VC 与PE 投资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市值管理与重组并购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基金管理</w:t>
                  </w:r>
                </w:p>
                <w:p>
                  <w:pPr>
                    <w:spacing w:line="42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产业整合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6" o:spid="_x0000_s2186" o:spt="202" type="#_x0000_t202" style="position:absolute;left:0pt;margin-left:222.6pt;margin-top:33.15pt;height:175.2pt;width:195.65pt;z-index:25180467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财务分析和风险评估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融资方式与融资工具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资本结构与资产负债表管理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现金流管理与成本管理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资产造册与管理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企业历史帐务和税务风险化解</w:t>
                  </w:r>
                </w:p>
                <w:p>
                  <w:pPr>
                    <w:spacing w:line="42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企业税负最优化解决方案</w:t>
                  </w:r>
                </w:p>
                <w:p>
                  <w:pPr>
                    <w:spacing w:line="42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合法避税与国际税务筹划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2" o:spid="_x0000_s2182" o:spt="202" type="#_x0000_t202" style="position:absolute;left:0pt;margin-left:-20.85pt;margin-top:-7.95pt;height:38.4pt;width:195.65pt;z-index:25180057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第五模块：资本经营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81" o:spid="_x0000_s2181" o:spt="1" style="position:absolute;left:0pt;margin-left:-27.75pt;margin-top:-11.7pt;height:238.5pt;width:240pt;z-index:251799552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7" o:spid="_x0000_s2187" o:spt="32" type="#_x0000_t32" style="position:absolute;left:0pt;margin-left:227.1pt;margin-top:28.8pt;height:0.05pt;width:215.25pt;z-index:251805696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sz w:val="28"/>
          <w:szCs w:val="28"/>
        </w:rPr>
        <w:pict>
          <v:rect id="_x0000_s2188" o:spid="_x0000_s2188" o:spt="1" style="position:absolute;left:0pt;margin-left:217.05pt;margin-top:-10.95pt;height:238.5pt;width:240pt;z-index:-251509760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85" o:spid="_x0000_s2185" o:spt="202" type="#_x0000_t202" style="position:absolute;left:0pt;margin-left:222.6pt;margin-top:-7.95pt;height:38.4pt;width:195.65pt;z-index:25180364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第六模块：财务管理与税务筹划</w:t>
                  </w:r>
                </w:p>
              </w:txbxContent>
            </v:textbox>
          </v:shape>
        </w:pict>
      </w:r>
    </w:p>
    <w:p>
      <w:pPr>
        <w:rPr>
          <w:rFonts w:ascii="微软雅黑" w:hAnsi="微软雅黑" w:eastAsia="微软雅黑"/>
          <w:b/>
          <w:sz w:val="28"/>
          <w:szCs w:val="28"/>
        </w:rPr>
      </w:pPr>
    </w:p>
    <w:p>
      <w:pPr>
        <w:tabs>
          <w:tab w:val="left" w:pos="6180"/>
        </w:tabs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tab/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95" o:spid="_x0000_s2195" o:spt="1" style="position:absolute;left:0pt;margin-left:216.75pt;margin-top:12.55pt;height:238.5pt;width:240pt;z-index:-251502592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rect id="_x0000_s2189" o:spid="_x0000_s2189" o:spt="1" style="position:absolute;left:0pt;margin-left:-28.05pt;margin-top:11.8pt;height:238.5pt;width:240pt;z-index:251807744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1" o:spid="_x0000_s2191" o:spt="202" type="#_x0000_t202" style="position:absolute;left:0pt;margin-left:-21.75pt;margin-top:58.3pt;height:145.2pt;width:195.65pt;z-index:2518097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人力资源管理体系的构成和建立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任职资格标准体系的建立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绩效考核与薪酬体系设计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员工培训的计划与实施、继任管理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接班人和富二代培养</w:t>
                  </w:r>
                </w:p>
                <w:p>
                  <w:pPr>
                    <w:spacing w:line="4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企业文化建设与基业长青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3" o:spid="_x0000_s2193" o:spt="202" type="#_x0000_t202" style="position:absolute;left:0pt;margin-left:222.9pt;margin-top:58.6pt;height:191.2pt;width:219.75pt;z-index:2518118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互联网的发展历史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移动互联网和大数据时代意味着什么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工业 4.0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物联网与企业的互联网战略和应用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企业信息化的发展历史及最新动态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精益管理与企业未来</w:t>
                  </w:r>
                </w:p>
                <w:p>
                  <w:pPr>
                    <w:spacing w:line="46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学习型队伍和创新型企业建设</w:t>
                  </w:r>
                </w:p>
                <w:p>
                  <w:pPr>
                    <w:spacing w:line="46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中国企业创新与升级的方向与趋势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0" o:spid="_x0000_s2190" o:spt="32" type="#_x0000_t32" style="position:absolute;left:0pt;margin-left:-14.55pt;margin-top:54.55pt;height:0.05pt;width:215.25pt;z-index:251808768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6" o:spid="_x0000_s2196" o:spt="202" type="#_x0000_t202" style="position:absolute;left:0pt;margin-left:-20.25pt;margin-top:18.4pt;height:38.4pt;width:214.5pt;z-index:25181491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第七模块：人力资源管理与企业文化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4" o:spid="_x0000_s2194" o:spt="32" type="#_x0000_t32" style="position:absolute;left:0pt;margin-left:226.8pt;margin-top:54.55pt;height:0.05pt;width:215.25pt;z-index:251812864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192" o:spid="_x0000_s2192" o:spt="202" type="#_x0000_t202" style="position:absolute;left:0pt;margin-left:222.6pt;margin-top:17.9pt;height:38.4pt;width:195.65pt;z-index:25181081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第八模块：创新、转型和升级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tabs>
          <w:tab w:val="left" w:pos="5010"/>
        </w:tabs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b/>
          <w:color w:val="984806" w:themeColor="accent6" w:themeShade="80"/>
          <w:sz w:val="24"/>
        </w:rPr>
        <w:tab/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rect id="_x0000_s2197" o:spid="_x0000_s2197" o:spt="1" style="position:absolute;left:0pt;margin-left:-27.75pt;margin-top:5.1pt;height:297.75pt;width:484.5pt;z-index:251815936;mso-width-relative:page;mso-height-relative:page;" fillcolor="#F8F8F8" filled="t" stroked="f" coordsize="21600,21600">
            <v:path/>
            <v:fill on="t" color2="#F8F8F8" focussize="0,0"/>
            <v:stroke on="f"/>
            <v:imagedata o:title=""/>
            <o:lock v:ext="edit"/>
          </v:rect>
        </w:pict>
      </w:r>
      <w:r>
        <w:rPr>
          <w:rFonts w:ascii="微软雅黑" w:hAnsi="微软雅黑" w:eastAsia="微软雅黑"/>
          <w:szCs w:val="21"/>
        </w:rPr>
        <w:pict>
          <v:shape id="_x0000_s2200" o:spid="_x0000_s2200" o:spt="202" type="#_x0000_t202" style="position:absolute;left:0pt;margin-left:-18.9pt;margin-top:5.1pt;height:38.4pt;width:214.5pt;z-index:25181900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微软雅黑" w:hAnsi="微软雅黑" w:eastAsia="微软雅黑"/>
                      <w:b/>
                      <w:color w:val="3F3F3F" w:themeColor="text1" w:themeTint="BF"/>
                      <w:sz w:val="24"/>
                    </w:rPr>
                    <w:t>第九模块：行知中国 知行合一</w:t>
                  </w:r>
                </w:p>
              </w:txbxContent>
            </v:textbox>
          </v:shape>
        </w:pict>
      </w: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shape id="_x0000_s2198" o:spid="_x0000_s2198" o:spt="32" type="#_x0000_t32" style="position:absolute;left:0pt;margin-left:-13.65pt;margin-top:9.3pt;height:0pt;width:446.4pt;z-index:251816960;mso-width-relative:page;mso-height-relative:page;" o:connectortype="straight" filled="f" stroked="t" coordsize="21600,21600">
            <v:path arrowok="t"/>
            <v:fill on="f" focussize="0,0"/>
            <v:stroke color="#957337"/>
            <v:imagedata o:title=""/>
            <o:lock v:ext="edit"/>
          </v:shape>
        </w:pict>
      </w:r>
      <w:r>
        <w:rPr>
          <w:rFonts w:ascii="微软雅黑" w:hAnsi="微软雅黑" w:eastAsia="微软雅黑"/>
          <w:szCs w:val="21"/>
        </w:rPr>
        <w:pict>
          <v:shape id="_x0000_s2201" o:spid="_x0000_s2201" o:spt="202" type="#_x0000_t202" style="position:absolute;left:0pt;margin-left:195.45pt;margin-top:13.2pt;height:102.2pt;width:195.65pt;z-index:25182003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6. 艺术欣赏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7. 文化遗产欣赏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8. 中外富商的命运与财富传承</w:t>
                  </w:r>
                </w:p>
                <w:p>
                  <w:pPr>
                    <w:spacing w:line="380" w:lineRule="exact"/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9. 中医养生</w:t>
                  </w:r>
                </w:p>
                <w:p>
                  <w:pPr>
                    <w:spacing w:line="380" w:lineRule="exact"/>
                  </w:pPr>
                </w:p>
              </w:txbxContent>
            </v:textbox>
          </v:shape>
        </w:pict>
      </w:r>
      <w:r>
        <w:rPr>
          <w:rFonts w:ascii="微软雅黑" w:hAnsi="微软雅黑" w:eastAsia="微软雅黑"/>
          <w:szCs w:val="21"/>
        </w:rPr>
        <w:pict>
          <v:shape id="_x0000_s2199" o:spid="_x0000_s2199" o:spt="202" type="#_x0000_t202" style="position:absolute;left:0pt;margin-left:-20.55pt;margin-top:12.45pt;height:102.2pt;width:195.65pt;z-index:25181798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1. 领导力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2. 王阳明心学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3. 国学与企业家修身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4. 国学与经商</w:t>
                  </w:r>
                </w:p>
                <w:p>
                  <w:pPr>
                    <w:spacing w:line="380" w:lineRule="exact"/>
                    <w:rPr>
                      <w:rFonts w:ascii="微软雅黑" w:hAnsi="微软雅黑" w:eastAsia="微软雅黑"/>
                      <w:color w:val="3F3F3F" w:themeColor="text1" w:themeTint="BF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Cs w:val="21"/>
                    </w:rPr>
                    <w:t>5. 富人的生活品位与生活艺术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ind w:left="-567" w:leftChars="-270" w:firstLine="121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  <w:r>
        <w:rPr>
          <w:rFonts w:ascii="微软雅黑" w:hAnsi="微软雅黑" w:eastAsia="微软雅黑"/>
          <w:szCs w:val="21"/>
        </w:rPr>
        <w:pict>
          <v:shape id="_x0000_s2202" o:spid="_x0000_s2202" o:spt="202" type="#_x0000_t202" style="position:absolute;left:0pt;margin-left:-17.4pt;margin-top:27.65pt;height:184.5pt;width:450.15pt;z-index:25182105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460" w:lineRule="exact"/>
                    <w:rPr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3F3F3F" w:themeColor="text1" w:themeTint="BF"/>
                      <w:sz w:val="24"/>
                    </w:rPr>
                    <w:t>“行知中国”是在多年“移动校园”实践的基础上再度创新，是商业领袖EMBA在十余年办学经验的基础上开创的全新教学理念和模式，将创 造更加贴近“实际操作”的教学氛围，也是国内商学院首个实践体验式课程。“行知中国——企业篇”课程从一开始就是让授课老师先走进企 业熟悉企业的状况、对企业进行深度的调研，以达到在教学中将企业最优实践与管理前沿新知的深度结合。至今课程已经走过十几个城市，走 进过一汽集团、哇哈哈、华为公司、腾讯、万科、伊利等上百家知名企业。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b/>
          <w:color w:val="984806" w:themeColor="accent6" w:themeShade="80"/>
          <w:sz w:val="24"/>
        </w:rPr>
        <w:pict>
          <v:shape id="_x0000_s2208" o:spid="_x0000_s2208" o:spt="202" type="#_x0000_t202" style="position:absolute;left:0pt;margin-left:-19.3pt;margin-top:15.8pt;height:22.8pt;width:462.45pt;z-index:25182617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color w:val="A5A5A5" w:themeColor="background1" w:themeShade="A6"/>
                    </w:rPr>
                  </w:pPr>
                  <w:r>
                    <w:rPr>
                      <w:rFonts w:hint="eastAsia"/>
                      <w:color w:val="A5A5A5" w:themeColor="background1" w:themeShade="A6"/>
                    </w:rPr>
                    <w:t>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</w:p>
    <w:p>
      <w:pPr>
        <w:ind w:left="-567" w:leftChars="-270" w:firstLine="139" w:firstLineChars="58"/>
        <w:jc w:val="left"/>
        <w:rPr>
          <w:rFonts w:ascii="微软雅黑" w:hAnsi="微软雅黑" w:eastAsia="微软雅黑"/>
          <w:b/>
          <w:color w:val="984806" w:themeColor="accent6" w:themeShade="80"/>
          <w:sz w:val="24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spacing w:line="420" w:lineRule="exact"/>
        <w:ind w:left="-283" w:leftChars="-135" w:right="42" w:rightChars="20"/>
        <w:rPr>
          <w:rFonts w:ascii="微软雅黑" w:hAnsi="微软雅黑" w:eastAsia="微软雅黑"/>
          <w:szCs w:val="21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957337"/>
          <w:sz w:val="30"/>
          <w:szCs w:val="30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93345</wp:posOffset>
            </wp:positionV>
            <wp:extent cx="5629275" cy="3676650"/>
            <wp:effectExtent l="19050" t="0" r="9525" b="0"/>
            <wp:wrapNone/>
            <wp:docPr id="2" name="图片 6" descr="C5班毕业压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5班毕业压缩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  <w:r>
        <w:rPr>
          <w:rFonts w:ascii="微软雅黑" w:hAnsi="微软雅黑" w:eastAsia="微软雅黑"/>
          <w:b/>
          <w:bCs/>
          <w:color w:val="957337"/>
          <w:sz w:val="30"/>
          <w:szCs w:val="30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560070</wp:posOffset>
            </wp:positionV>
            <wp:extent cx="6143625" cy="4343400"/>
            <wp:effectExtent l="19050" t="0" r="9525" b="0"/>
            <wp:wrapNone/>
            <wp:docPr id="15" name="图片 14" descr="形状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形状副本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9"/>
          <w:rFonts w:ascii="微软雅黑" w:hAnsi="微软雅黑" w:eastAsia="微软雅黑"/>
          <w:color w:val="957337"/>
          <w:sz w:val="30"/>
          <w:szCs w:val="30"/>
        </w:rPr>
        <w:t>强大而敬业的师资阵容</w:t>
      </w:r>
      <w:r>
        <w:rPr>
          <w:rStyle w:val="9"/>
          <w:rFonts w:hint="eastAsia" w:ascii="微软雅黑" w:hAnsi="微软雅黑" w:eastAsia="微软雅黑"/>
          <w:color w:val="957337"/>
          <w:sz w:val="30"/>
          <w:szCs w:val="30"/>
        </w:rPr>
        <w:br w:type="textWrapping"/>
      </w:r>
    </w:p>
    <w:p>
      <w:pPr>
        <w:ind w:left="-567" w:leftChars="-270" w:firstLine="162" w:firstLineChars="58"/>
        <w:jc w:val="lef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</w:t>
      </w: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Fonts w:ascii="微软雅黑" w:hAnsi="微软雅黑" w:eastAsia="微软雅黑"/>
          <w:b/>
          <w:szCs w:val="21"/>
        </w:rPr>
      </w:pPr>
    </w:p>
    <w:p>
      <w:pPr>
        <w:spacing w:line="240" w:lineRule="exact"/>
        <w:ind w:left="-424" w:leftChars="-202"/>
        <w:rPr>
          <w:rStyle w:val="9"/>
          <w:rFonts w:ascii="微软雅黑" w:hAnsi="微软雅黑" w:eastAsia="微软雅黑"/>
          <w:bCs w:val="0"/>
          <w:szCs w:val="21"/>
        </w:rPr>
      </w:pPr>
      <w:r>
        <w:rPr>
          <w:rFonts w:ascii="微软雅黑" w:hAnsi="微软雅黑" w:eastAsia="微软雅黑"/>
          <w:b/>
          <w:szCs w:val="21"/>
        </w:rPr>
        <w:t>......</w:t>
      </w:r>
      <w:r>
        <w:rPr>
          <w:rFonts w:ascii="微软雅黑" w:hAnsi="微软雅黑" w:eastAsia="微软雅黑"/>
          <w:b/>
          <w:szCs w:val="21"/>
        </w:rPr>
        <w:tab/>
      </w:r>
    </w:p>
    <w:p>
      <w:pPr>
        <w:ind w:left="-567" w:leftChars="-270" w:firstLine="174" w:firstLineChars="58"/>
        <w:jc w:val="left"/>
        <w:rPr>
          <w:rStyle w:val="9"/>
          <w:rFonts w:ascii="微软雅黑" w:hAnsi="微软雅黑" w:eastAsia="微软雅黑"/>
          <w:color w:val="957337"/>
          <w:sz w:val="30"/>
          <w:szCs w:val="30"/>
        </w:rPr>
      </w:pPr>
    </w:p>
    <w:p>
      <w:pPr>
        <w:ind w:left="-567" w:leftChars="-270" w:firstLine="174" w:firstLineChars="58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Style w:val="9"/>
          <w:rFonts w:hint="eastAsia" w:ascii="微软雅黑" w:hAnsi="微软雅黑" w:eastAsia="微软雅黑"/>
          <w:color w:val="957337"/>
          <w:sz w:val="30"/>
          <w:szCs w:val="30"/>
        </w:rPr>
        <w:t>一声同学 同学一生</w:t>
      </w:r>
    </w:p>
    <w:p>
      <w:pPr>
        <w:rPr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156210</wp:posOffset>
            </wp:positionV>
            <wp:extent cx="3714750" cy="2705100"/>
            <wp:effectExtent l="19050" t="0" r="0" b="0"/>
            <wp:wrapNone/>
            <wp:docPr id="21" name="图片 20" descr="同学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同学会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42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除了知识和思想，商业领袖EMBA还能带给你一个忠实而庞大的校友网络，拥有国内各大学商学院校友网中最扎实最稳固的校友团体。商业领袖EMBA同学们在这里可以获取管理新知、拓展社会资源、谋求合作机会、助推事业发展。</w:t>
      </w: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商业领袖EMBA校友会</w:t>
      </w:r>
    </w:p>
    <w:p>
      <w:pPr>
        <w:spacing w:line="500" w:lineRule="exact"/>
        <w:ind w:left="-283" w:leftChars="-135" w:firstLine="283" w:firstLineChars="135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丰资源同学会，成立于2007年5月20日，是由北大校友自发自愿组成的盈利组织，主要服务于商学院已毕业的万名校友。北丰校友会目前有三个分支机构：投融资委员会、房地产委员会、建筑委员会。校友会设理事会、秘书处两个常设机构，理事会设理事长一名、副理事长若干名；秘书处设秘书长一名、副秘书长若干名，纪律委员一名，理事会为最高决策机构。</w:t>
      </w:r>
    </w:p>
    <w:p>
      <w:pPr>
        <w:spacing w:line="500" w:lineRule="exact"/>
        <w:ind w:left="-283" w:leftChars="-135" w:firstLine="283" w:firstLineChars="135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丰资源同学会以校友为中心，以“整合、集中校友会内外的智慧和资源，为校友需求服务，为中心和学校发展服务”为宗旨,按兴趣、行业、地方、基金进行分工分组活动。目前，北京、安徽、陕西、甘肃、宁夏、新疆、青海、山东、广东等地校友分会正在积极筹建过程中，欢迎该地区校友报名加入！</w:t>
      </w: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spacing w:line="500" w:lineRule="exact"/>
        <w:ind w:left="-282" w:leftChars="-135" w:hanging="1"/>
        <w:rPr>
          <w:rFonts w:ascii="微软雅黑" w:hAnsi="微软雅黑" w:eastAsia="微软雅黑"/>
          <w:szCs w:val="21"/>
        </w:rPr>
      </w:pPr>
    </w:p>
    <w:p>
      <w:pPr>
        <w:rPr>
          <w:sz w:val="24"/>
        </w:rPr>
      </w:pPr>
    </w:p>
    <w:p>
      <w:pPr>
        <w:spacing w:line="400" w:lineRule="exact"/>
        <w:ind w:left="-283" w:leftChars="-135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Style w:val="9"/>
          <w:rFonts w:ascii="微软雅黑" w:hAnsi="微软雅黑" w:eastAsia="微软雅黑"/>
          <w:color w:val="957337"/>
          <w:sz w:val="30"/>
          <w:szCs w:val="30"/>
        </w:rPr>
        <w:br w:type="textWrapping"/>
      </w:r>
      <w:r>
        <w:rPr>
          <w:rStyle w:val="9"/>
          <w:rFonts w:hint="eastAsia" w:ascii="微软雅黑" w:hAnsi="微软雅黑" w:eastAsia="微软雅黑"/>
          <w:color w:val="957337"/>
          <w:sz w:val="30"/>
          <w:szCs w:val="30"/>
        </w:rPr>
        <w:t>我们欢迎你</w:t>
      </w:r>
      <w:r>
        <w:rPr>
          <w:rStyle w:val="9"/>
          <w:rFonts w:ascii="微软雅黑" w:hAnsi="微软雅黑" w:eastAsia="微软雅黑"/>
          <w:color w:val="957337"/>
          <w:sz w:val="30"/>
          <w:szCs w:val="30"/>
        </w:rPr>
        <w:br w:type="textWrapping"/>
      </w:r>
    </w:p>
    <w:p>
      <w:pPr>
        <w:ind w:left="-283" w:leftChars="-135" w:firstLine="20" w:firstLineChars="7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招生对象</w:t>
      </w:r>
    </w:p>
    <w:p>
      <w:pPr>
        <w:spacing w:line="42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上市企业董事长、CEO、总经理等企业高管；银行、证券等金融机构的决策者及高级管理者；控股公司/集团公司高层管理人员； 各类从事实业、股权投资或投资管理的专业人士和高层管理者。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学习安排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学制两年，每月集中授课2~3天。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学习费用</w:t>
      </w:r>
    </w:p>
    <w:p>
      <w:pPr>
        <w:spacing w:line="400" w:lineRule="exact"/>
        <w:ind w:left="-283" w:leftChars="-135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RMB </w:t>
      </w:r>
      <w:r>
        <w:rPr>
          <w:rFonts w:hint="eastAsia" w:ascii="微软雅黑" w:hAnsi="微软雅黑" w:eastAsia="微软雅黑"/>
          <w:szCs w:val="21"/>
          <w:lang w:val="en-US" w:eastAsia="zh-CN"/>
        </w:rPr>
        <w:t>26</w:t>
      </w:r>
      <w:bookmarkStart w:id="0" w:name="_GoBack"/>
      <w:bookmarkEnd w:id="0"/>
      <w:r>
        <w:rPr>
          <w:rFonts w:hint="eastAsia" w:ascii="微软雅黑" w:hAnsi="微软雅黑" w:eastAsia="微软雅黑"/>
          <w:szCs w:val="21"/>
          <w:lang w:val="en-US" w:eastAsia="zh-CN"/>
        </w:rPr>
        <w:t>.8</w:t>
      </w:r>
      <w:r>
        <w:rPr>
          <w:rFonts w:hint="eastAsia" w:ascii="微软雅黑" w:hAnsi="微软雅黑" w:eastAsia="微软雅黑"/>
          <w:szCs w:val="21"/>
        </w:rPr>
        <w:t>万元/人。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</w:t>
      </w:r>
    </w:p>
    <w:p>
      <w:pPr>
        <w:spacing w:line="400" w:lineRule="exact"/>
        <w:ind w:left="-283" w:leftChars="-135" w:right="183" w:rightChars="87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40404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联系方式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 系 人： 张老师 15801019329     李老师 13661275200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联系电话： 010-</w:t>
      </w:r>
      <w:r>
        <w:rPr>
          <w:rFonts w:hint="eastAsia" w:ascii="微软雅黑" w:hAnsi="微软雅黑" w:eastAsia="微软雅黑"/>
          <w:szCs w:val="21"/>
          <w:lang w:val="en-US" w:eastAsia="zh-CN"/>
        </w:rPr>
        <w:t>80533351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邮    箱：  </w:t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"mailto:pkuyxb@163.com"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 xml:space="preserve">pkuyxb@163.com   </w:t>
      </w:r>
      <w:r>
        <w:rPr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"mailto:137198858@qq.com"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137198858@qq.com</w:t>
      </w:r>
      <w:r>
        <w:rPr>
          <w:rFonts w:hint="eastAsia" w:ascii="微软雅黑" w:hAnsi="微软雅黑" w:eastAsia="微软雅黑"/>
          <w:szCs w:val="21"/>
        </w:rPr>
        <w:fldChar w:fldCharType="end"/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官    网：  www.pkupxw.org</w:t>
      </w:r>
    </w:p>
    <w:p>
      <w:pPr>
        <w:spacing w:line="5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</w:t>
      </w: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both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  <w:lang w:eastAsia="zh-CN"/>
        </w:rPr>
        <w:t>商业领袖</w:t>
      </w: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  <w:lang w:val="en-US" w:eastAsia="zh-CN"/>
        </w:rPr>
        <w:t>EMBA</w:t>
      </w: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</w:rPr>
        <w:t>班</w:t>
      </w: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5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80533351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附注：1、此表复印有效。2、填好后请传真或邮件的方式传至招生办。</w:t>
      </w:r>
    </w:p>
    <w:p>
      <w:pPr>
        <w:spacing w:line="360" w:lineRule="exact"/>
        <w:jc w:val="both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678" w:right="1558" w:bottom="1440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4216"/>
      <w:docPartObj>
        <w:docPartGallery w:val="autotext"/>
      </w:docPartObj>
    </w:sdtPr>
    <w:sdtEndPr>
      <w:rPr>
        <w:rFonts w:ascii="微软雅黑" w:hAnsi="微软雅黑" w:eastAsia="微软雅黑"/>
        <w:sz w:val="21"/>
        <w:szCs w:val="21"/>
      </w:rPr>
    </w:sdtEndPr>
    <w:sdtContent>
      <w:p>
        <w:pPr>
          <w:pStyle w:val="3"/>
          <w:jc w:val="right"/>
          <w:rPr>
            <w:rFonts w:ascii="微软雅黑" w:hAnsi="微软雅黑" w:eastAsia="微软雅黑"/>
            <w:sz w:val="21"/>
            <w:szCs w:val="21"/>
          </w:rPr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6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B58"/>
    <w:rsid w:val="0000304D"/>
    <w:rsid w:val="000036C7"/>
    <w:rsid w:val="00011479"/>
    <w:rsid w:val="00011583"/>
    <w:rsid w:val="00020627"/>
    <w:rsid w:val="000308F4"/>
    <w:rsid w:val="0003588C"/>
    <w:rsid w:val="00035D20"/>
    <w:rsid w:val="00043155"/>
    <w:rsid w:val="00053302"/>
    <w:rsid w:val="0006654D"/>
    <w:rsid w:val="0007307E"/>
    <w:rsid w:val="000915EF"/>
    <w:rsid w:val="00092ECD"/>
    <w:rsid w:val="000A0043"/>
    <w:rsid w:val="000A26DE"/>
    <w:rsid w:val="000A7CDD"/>
    <w:rsid w:val="000B1436"/>
    <w:rsid w:val="000B7F6D"/>
    <w:rsid w:val="000C091B"/>
    <w:rsid w:val="000C63A5"/>
    <w:rsid w:val="000D5717"/>
    <w:rsid w:val="000E2191"/>
    <w:rsid w:val="000F788F"/>
    <w:rsid w:val="0010142B"/>
    <w:rsid w:val="0010343B"/>
    <w:rsid w:val="001058DF"/>
    <w:rsid w:val="00120A9F"/>
    <w:rsid w:val="00123308"/>
    <w:rsid w:val="00130F71"/>
    <w:rsid w:val="0014011F"/>
    <w:rsid w:val="00143B7C"/>
    <w:rsid w:val="001458A1"/>
    <w:rsid w:val="00150166"/>
    <w:rsid w:val="00154D54"/>
    <w:rsid w:val="00170564"/>
    <w:rsid w:val="00175097"/>
    <w:rsid w:val="0018633F"/>
    <w:rsid w:val="001969AE"/>
    <w:rsid w:val="001A1EEB"/>
    <w:rsid w:val="001C0973"/>
    <w:rsid w:val="001D047A"/>
    <w:rsid w:val="001D1C1F"/>
    <w:rsid w:val="001D2CB2"/>
    <w:rsid w:val="001E18F4"/>
    <w:rsid w:val="001F37C6"/>
    <w:rsid w:val="001F6F67"/>
    <w:rsid w:val="00204156"/>
    <w:rsid w:val="00204516"/>
    <w:rsid w:val="00204756"/>
    <w:rsid w:val="00207006"/>
    <w:rsid w:val="00207D0E"/>
    <w:rsid w:val="002200F7"/>
    <w:rsid w:val="002400E3"/>
    <w:rsid w:val="002441FB"/>
    <w:rsid w:val="00266C0E"/>
    <w:rsid w:val="0027076C"/>
    <w:rsid w:val="00277F27"/>
    <w:rsid w:val="00281332"/>
    <w:rsid w:val="00293AB7"/>
    <w:rsid w:val="0029652E"/>
    <w:rsid w:val="002A3996"/>
    <w:rsid w:val="002A788A"/>
    <w:rsid w:val="002B7468"/>
    <w:rsid w:val="002D0CBD"/>
    <w:rsid w:val="002D66CF"/>
    <w:rsid w:val="002D7C67"/>
    <w:rsid w:val="002E65B8"/>
    <w:rsid w:val="002F1F79"/>
    <w:rsid w:val="00302A4C"/>
    <w:rsid w:val="003069B1"/>
    <w:rsid w:val="00331480"/>
    <w:rsid w:val="00350967"/>
    <w:rsid w:val="00371F4D"/>
    <w:rsid w:val="0038081A"/>
    <w:rsid w:val="003836EB"/>
    <w:rsid w:val="003A055A"/>
    <w:rsid w:val="003B75E4"/>
    <w:rsid w:val="003D3DFB"/>
    <w:rsid w:val="003E0FB0"/>
    <w:rsid w:val="003E15E5"/>
    <w:rsid w:val="003E53C6"/>
    <w:rsid w:val="003F0561"/>
    <w:rsid w:val="003F1165"/>
    <w:rsid w:val="0040013B"/>
    <w:rsid w:val="004005B8"/>
    <w:rsid w:val="0040268F"/>
    <w:rsid w:val="004271A8"/>
    <w:rsid w:val="0043360F"/>
    <w:rsid w:val="00441A02"/>
    <w:rsid w:val="00454B09"/>
    <w:rsid w:val="00474B44"/>
    <w:rsid w:val="004A1423"/>
    <w:rsid w:val="004B5B5D"/>
    <w:rsid w:val="004B601F"/>
    <w:rsid w:val="004C3C4F"/>
    <w:rsid w:val="004C797F"/>
    <w:rsid w:val="004D063D"/>
    <w:rsid w:val="004D3408"/>
    <w:rsid w:val="004E2284"/>
    <w:rsid w:val="004E6E6A"/>
    <w:rsid w:val="004F0495"/>
    <w:rsid w:val="004F2702"/>
    <w:rsid w:val="004F4AF7"/>
    <w:rsid w:val="004F4F21"/>
    <w:rsid w:val="00503F7C"/>
    <w:rsid w:val="00512831"/>
    <w:rsid w:val="00520FBA"/>
    <w:rsid w:val="005368C0"/>
    <w:rsid w:val="00542455"/>
    <w:rsid w:val="005451A3"/>
    <w:rsid w:val="00546A43"/>
    <w:rsid w:val="00571A14"/>
    <w:rsid w:val="00576F67"/>
    <w:rsid w:val="00577A97"/>
    <w:rsid w:val="005809CE"/>
    <w:rsid w:val="00581EE9"/>
    <w:rsid w:val="00587EF1"/>
    <w:rsid w:val="00597DB6"/>
    <w:rsid w:val="005A39A7"/>
    <w:rsid w:val="005A7616"/>
    <w:rsid w:val="005B415C"/>
    <w:rsid w:val="005C0ED7"/>
    <w:rsid w:val="005C71E7"/>
    <w:rsid w:val="005D0CB5"/>
    <w:rsid w:val="005F6E7A"/>
    <w:rsid w:val="00600B58"/>
    <w:rsid w:val="006068A2"/>
    <w:rsid w:val="006137C1"/>
    <w:rsid w:val="00630E23"/>
    <w:rsid w:val="00633737"/>
    <w:rsid w:val="00644ADC"/>
    <w:rsid w:val="00647F49"/>
    <w:rsid w:val="006523AB"/>
    <w:rsid w:val="00654244"/>
    <w:rsid w:val="0065709D"/>
    <w:rsid w:val="0067086B"/>
    <w:rsid w:val="006708F2"/>
    <w:rsid w:val="00672916"/>
    <w:rsid w:val="006A3C67"/>
    <w:rsid w:val="006B1986"/>
    <w:rsid w:val="006C1AC6"/>
    <w:rsid w:val="006E6774"/>
    <w:rsid w:val="00705DA1"/>
    <w:rsid w:val="007079C3"/>
    <w:rsid w:val="007273B2"/>
    <w:rsid w:val="0073165D"/>
    <w:rsid w:val="00745119"/>
    <w:rsid w:val="00750DBE"/>
    <w:rsid w:val="007557C8"/>
    <w:rsid w:val="00763383"/>
    <w:rsid w:val="00764908"/>
    <w:rsid w:val="00764D1D"/>
    <w:rsid w:val="00793D44"/>
    <w:rsid w:val="00794B29"/>
    <w:rsid w:val="007A066B"/>
    <w:rsid w:val="007C4A34"/>
    <w:rsid w:val="007E62C1"/>
    <w:rsid w:val="007F5AD1"/>
    <w:rsid w:val="007F76D9"/>
    <w:rsid w:val="00817150"/>
    <w:rsid w:val="00825646"/>
    <w:rsid w:val="00834298"/>
    <w:rsid w:val="00835F33"/>
    <w:rsid w:val="0084483C"/>
    <w:rsid w:val="0085135A"/>
    <w:rsid w:val="0087149A"/>
    <w:rsid w:val="00871CA7"/>
    <w:rsid w:val="00874152"/>
    <w:rsid w:val="00880822"/>
    <w:rsid w:val="008836CE"/>
    <w:rsid w:val="008A0046"/>
    <w:rsid w:val="008A3495"/>
    <w:rsid w:val="008C5B03"/>
    <w:rsid w:val="008C6ADA"/>
    <w:rsid w:val="008D30A7"/>
    <w:rsid w:val="008D4C2A"/>
    <w:rsid w:val="008D6515"/>
    <w:rsid w:val="008E014C"/>
    <w:rsid w:val="008F1E23"/>
    <w:rsid w:val="009008FF"/>
    <w:rsid w:val="009164FB"/>
    <w:rsid w:val="00920D15"/>
    <w:rsid w:val="00924972"/>
    <w:rsid w:val="00946D9A"/>
    <w:rsid w:val="009612D5"/>
    <w:rsid w:val="00963F37"/>
    <w:rsid w:val="009720FC"/>
    <w:rsid w:val="009B41C2"/>
    <w:rsid w:val="009B4876"/>
    <w:rsid w:val="009C4A19"/>
    <w:rsid w:val="009D1475"/>
    <w:rsid w:val="009D2DF1"/>
    <w:rsid w:val="009E4706"/>
    <w:rsid w:val="00A01FAF"/>
    <w:rsid w:val="00A073EB"/>
    <w:rsid w:val="00A11A2A"/>
    <w:rsid w:val="00A2185E"/>
    <w:rsid w:val="00A34959"/>
    <w:rsid w:val="00A44010"/>
    <w:rsid w:val="00A672A3"/>
    <w:rsid w:val="00A7036C"/>
    <w:rsid w:val="00A72E39"/>
    <w:rsid w:val="00A80FEC"/>
    <w:rsid w:val="00A81B52"/>
    <w:rsid w:val="00A83DCE"/>
    <w:rsid w:val="00A84A7C"/>
    <w:rsid w:val="00A86328"/>
    <w:rsid w:val="00A94B2B"/>
    <w:rsid w:val="00A9715E"/>
    <w:rsid w:val="00AA1165"/>
    <w:rsid w:val="00AC221B"/>
    <w:rsid w:val="00AC678D"/>
    <w:rsid w:val="00AD5D84"/>
    <w:rsid w:val="00AF73C4"/>
    <w:rsid w:val="00B03DC4"/>
    <w:rsid w:val="00B11636"/>
    <w:rsid w:val="00B134A3"/>
    <w:rsid w:val="00B204E3"/>
    <w:rsid w:val="00B304B3"/>
    <w:rsid w:val="00B321D6"/>
    <w:rsid w:val="00B32F7E"/>
    <w:rsid w:val="00B346A7"/>
    <w:rsid w:val="00B34DA9"/>
    <w:rsid w:val="00B41093"/>
    <w:rsid w:val="00B53164"/>
    <w:rsid w:val="00B614BC"/>
    <w:rsid w:val="00B6322C"/>
    <w:rsid w:val="00B65C5C"/>
    <w:rsid w:val="00B74D34"/>
    <w:rsid w:val="00B828E4"/>
    <w:rsid w:val="00B828FA"/>
    <w:rsid w:val="00B85ABF"/>
    <w:rsid w:val="00BA5F50"/>
    <w:rsid w:val="00BB6F89"/>
    <w:rsid w:val="00BC5E6C"/>
    <w:rsid w:val="00BD54CC"/>
    <w:rsid w:val="00BE3088"/>
    <w:rsid w:val="00BE4821"/>
    <w:rsid w:val="00BF63B4"/>
    <w:rsid w:val="00C15DB5"/>
    <w:rsid w:val="00C16E6B"/>
    <w:rsid w:val="00C26A73"/>
    <w:rsid w:val="00C322A6"/>
    <w:rsid w:val="00C43165"/>
    <w:rsid w:val="00C4757B"/>
    <w:rsid w:val="00C47761"/>
    <w:rsid w:val="00C532C7"/>
    <w:rsid w:val="00C66049"/>
    <w:rsid w:val="00C671DF"/>
    <w:rsid w:val="00C71A00"/>
    <w:rsid w:val="00C82134"/>
    <w:rsid w:val="00C8422E"/>
    <w:rsid w:val="00CA4774"/>
    <w:rsid w:val="00CB275D"/>
    <w:rsid w:val="00CC2ABE"/>
    <w:rsid w:val="00CD1999"/>
    <w:rsid w:val="00CD6426"/>
    <w:rsid w:val="00CD6F48"/>
    <w:rsid w:val="00CE08FB"/>
    <w:rsid w:val="00CE0FA7"/>
    <w:rsid w:val="00CE4AC1"/>
    <w:rsid w:val="00D019C9"/>
    <w:rsid w:val="00D11120"/>
    <w:rsid w:val="00D15813"/>
    <w:rsid w:val="00D274D3"/>
    <w:rsid w:val="00D30137"/>
    <w:rsid w:val="00D32D65"/>
    <w:rsid w:val="00D35E27"/>
    <w:rsid w:val="00D43680"/>
    <w:rsid w:val="00D46ED8"/>
    <w:rsid w:val="00D9466C"/>
    <w:rsid w:val="00D97C06"/>
    <w:rsid w:val="00DC1264"/>
    <w:rsid w:val="00DC2B59"/>
    <w:rsid w:val="00DC2D60"/>
    <w:rsid w:val="00DE0506"/>
    <w:rsid w:val="00DE3135"/>
    <w:rsid w:val="00DF278F"/>
    <w:rsid w:val="00DF629E"/>
    <w:rsid w:val="00E06955"/>
    <w:rsid w:val="00E23E78"/>
    <w:rsid w:val="00E262C4"/>
    <w:rsid w:val="00E279BD"/>
    <w:rsid w:val="00E36AF6"/>
    <w:rsid w:val="00E42F3C"/>
    <w:rsid w:val="00E43EC0"/>
    <w:rsid w:val="00E4584F"/>
    <w:rsid w:val="00E4776C"/>
    <w:rsid w:val="00E6228C"/>
    <w:rsid w:val="00E7506F"/>
    <w:rsid w:val="00E8590C"/>
    <w:rsid w:val="00E9433D"/>
    <w:rsid w:val="00EB0F1B"/>
    <w:rsid w:val="00ED23E8"/>
    <w:rsid w:val="00ED55DC"/>
    <w:rsid w:val="00ED6B71"/>
    <w:rsid w:val="00ED6B75"/>
    <w:rsid w:val="00EE2BF5"/>
    <w:rsid w:val="00EE4B61"/>
    <w:rsid w:val="00EE6F0A"/>
    <w:rsid w:val="00EF7F8A"/>
    <w:rsid w:val="00F03F48"/>
    <w:rsid w:val="00F049A8"/>
    <w:rsid w:val="00F061D3"/>
    <w:rsid w:val="00F0746E"/>
    <w:rsid w:val="00F07A11"/>
    <w:rsid w:val="00F151C2"/>
    <w:rsid w:val="00F25ED9"/>
    <w:rsid w:val="00F26256"/>
    <w:rsid w:val="00F26857"/>
    <w:rsid w:val="00F274AB"/>
    <w:rsid w:val="00F40379"/>
    <w:rsid w:val="00F42193"/>
    <w:rsid w:val="00F422FD"/>
    <w:rsid w:val="00F44314"/>
    <w:rsid w:val="00F659DB"/>
    <w:rsid w:val="00F729CB"/>
    <w:rsid w:val="00F72DA0"/>
    <w:rsid w:val="00F76A46"/>
    <w:rsid w:val="00F80171"/>
    <w:rsid w:val="00FA17A3"/>
    <w:rsid w:val="00FA3288"/>
    <w:rsid w:val="00FB3E37"/>
    <w:rsid w:val="00FB7155"/>
    <w:rsid w:val="00FC6044"/>
    <w:rsid w:val="00FD778B"/>
    <w:rsid w:val="00FE3C9D"/>
    <w:rsid w:val="00FE4824"/>
    <w:rsid w:val="00FF23BB"/>
    <w:rsid w:val="00FF306B"/>
    <w:rsid w:val="00FF342D"/>
    <w:rsid w:val="181650CB"/>
    <w:rsid w:val="3D2D3DF9"/>
    <w:rsid w:val="750A1502"/>
    <w:rsid w:val="7B33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67"/>
        <o:r id="V:Rule2" type="connector" idref="#_x0000_s2171"/>
        <o:r id="V:Rule3" type="connector" idref="#_x0000_s2175"/>
        <o:r id="V:Rule4" type="connector" idref="#_x0000_s2180"/>
        <o:r id="V:Rule5" type="connector" idref="#_x0000_s2183"/>
        <o:r id="V:Rule6" type="connector" idref="#_x0000_s2187"/>
        <o:r id="V:Rule7" type="connector" idref="#_x0000_s2190"/>
        <o:r id="V:Rule8" type="connector" idref="#_x0000_s2194"/>
        <o:r id="V:Rule9" type="connector" idref="#_x0000_s219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Contemporary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新小标题2"/>
    <w:basedOn w:val="1"/>
    <w:uiPriority w:val="0"/>
    <w:pPr>
      <w:ind w:firstLine="1008"/>
    </w:pPr>
    <w:rPr>
      <w:rFonts w:ascii="隶书" w:eastAsia="隶书"/>
      <w:sz w:val="32"/>
      <w:szCs w:val="20"/>
    </w:rPr>
  </w:style>
  <w:style w:type="character" w:customStyle="1" w:styleId="16">
    <w:name w:val="135brush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65"/>
    <customShpInfo spid="_x0000_s2166"/>
    <customShpInfo spid="_x0000_s2168"/>
    <customShpInfo spid="_x0000_s2167"/>
    <customShpInfo spid="_x0000_s2169"/>
    <customShpInfo spid="_x0000_s2171"/>
    <customShpInfo spid="_x0000_s2170"/>
    <customShpInfo spid="_x0000_s2172"/>
    <customShpInfo spid="_x0000_s2173"/>
    <customShpInfo spid="_x0000_s2177"/>
    <customShpInfo spid="_x0000_s2178"/>
    <customShpInfo spid="_x0000_s2174"/>
    <customShpInfo spid="_x0000_s2176"/>
    <customShpInfo spid="_x0000_s2180"/>
    <customShpInfo spid="_x0000_s2179"/>
    <customShpInfo spid="_x0000_s2175"/>
    <customShpInfo spid="_x0000_s2183"/>
    <customShpInfo spid="_x0000_s2184"/>
    <customShpInfo spid="_x0000_s2186"/>
    <customShpInfo spid="_x0000_s2182"/>
    <customShpInfo spid="_x0000_s2181"/>
    <customShpInfo spid="_x0000_s2187"/>
    <customShpInfo spid="_x0000_s2188"/>
    <customShpInfo spid="_x0000_s2185"/>
    <customShpInfo spid="_x0000_s2195"/>
    <customShpInfo spid="_x0000_s2189"/>
    <customShpInfo spid="_x0000_s2191"/>
    <customShpInfo spid="_x0000_s2193"/>
    <customShpInfo spid="_x0000_s2190"/>
    <customShpInfo spid="_x0000_s2196"/>
    <customShpInfo spid="_x0000_s2194"/>
    <customShpInfo spid="_x0000_s2192"/>
    <customShpInfo spid="_x0000_s2197"/>
    <customShpInfo spid="_x0000_s2200"/>
    <customShpInfo spid="_x0000_s2198"/>
    <customShpInfo spid="_x0000_s2201"/>
    <customShpInfo spid="_x0000_s2199"/>
    <customShpInfo spid="_x0000_s2202"/>
    <customShpInfo spid="_x0000_s220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7BAA9-DD4B-49C3-B845-A0547E523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2016-09-27T03:33:00Z</dcterms:created>
  <dc:creator>jiangxt</dc:creator>
  <cp:lastModifiedBy>清华韩韩</cp:lastModifiedBy>
  <dcterms:modified xsi:type="dcterms:W3CDTF">2020-08-26T07:59:58Z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